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Aqueous inorganic powder nano</w:t>
      </w:r>
      <w:bookmarkStart w:id="0" w:name="_GoBack"/>
      <w:r>
        <w:rPr>
          <w:rFonts w:hint="eastAsia" w:ascii="宋体" w:hAnsi="宋体" w:eastAsia="宋体" w:cs="宋体"/>
          <w:b/>
          <w:bCs/>
          <w:color w:val="000000"/>
          <w:kern w:val="0"/>
          <w:sz w:val="36"/>
          <w:szCs w:val="36"/>
          <w:lang w:val="en-US" w:eastAsia="zh-CN" w:bidi="ar"/>
        </w:rPr>
        <w:t>dispersing</w:t>
      </w:r>
      <w:bookmarkEnd w:id="0"/>
      <w:r>
        <w:rPr>
          <w:rFonts w:hint="eastAsia" w:ascii="宋体" w:hAnsi="宋体" w:eastAsia="宋体" w:cs="宋体"/>
          <w:b/>
          <w:bCs/>
          <w:color w:val="000000"/>
          <w:kern w:val="0"/>
          <w:sz w:val="36"/>
          <w:szCs w:val="36"/>
          <w:lang w:val="en-US" w:eastAsia="zh-CN" w:bidi="ar"/>
        </w:rPr>
        <w:t xml:space="preserve"> agent</w:t>
      </w:r>
    </w:p>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RD-9510</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features and advantages:</w:t>
      </w:r>
    </w:p>
    <w:p>
      <w:pPr>
        <w:keepNext w:val="0"/>
        <w:keepLines w:val="0"/>
        <w:widowControl/>
        <w:suppressLineNumbers w:val="0"/>
        <w:spacing w:line="360" w:lineRule="auto"/>
        <w:ind w:firstLine="420" w:firstLineChars="0"/>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The product has excellent physical and chemical properties, strong adsorption of ultrafine particles of inorganic powder, good dispersion and stability effect, low viscosity of slurry, rapid decline in particle size, grinding spray drying of nano inorganic powder, and the dried powder does not clump flocculation.</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parameter</w:t>
      </w:r>
      <w:r>
        <w:rPr>
          <w:rFonts w:hint="eastAsia" w:ascii="宋体" w:hAnsi="宋体" w:eastAsia="宋体" w:cs="宋体"/>
          <w:color w:val="000000"/>
          <w:kern w:val="0"/>
          <w:sz w:val="24"/>
          <w:szCs w:val="24"/>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viscosity</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Paint 4# cups 95 "(25 °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Effective content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PH value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diluent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Deionized water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Molecular weight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Decomposition temperature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&gt;200℃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Sintering residue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The residual mass of 250kg liquid dispersant after sintering is 0.05~0.1kg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Chemical composition</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Aqueous supermolecular polymers containing carboxyl groups</w:t>
            </w:r>
          </w:p>
        </w:tc>
      </w:tr>
    </w:tbl>
    <w:p>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Field to use:</w:t>
      </w:r>
    </w:p>
    <w:p>
      <w:pP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Mainly used for ceramic powder, alumina, cerium oxide, magnesium oxide, titanium dioxide, and other inorganic powder nanometer ultrafine dispersion grinding, small amount of grinding time short efficiency. It is an excellent additive for the production of ultrafine powder grinding.</w:t>
      </w:r>
    </w:p>
    <w:p>
      <w:pP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Recommended dosage: </w:t>
      </w:r>
      <w:r>
        <w:rPr>
          <w:rFonts w:hint="eastAsia" w:ascii="宋体" w:hAnsi="宋体" w:eastAsia="宋体" w:cs="宋体"/>
          <w:b w:val="0"/>
          <w:bCs w:val="0"/>
          <w:color w:val="000000"/>
          <w:kern w:val="0"/>
          <w:sz w:val="24"/>
          <w:szCs w:val="24"/>
          <w:lang w:val="en-US" w:eastAsia="zh-CN" w:bidi="ar"/>
        </w:rPr>
        <w:t>1%~2% of the total formula, the specific dosage according to the need to increase or decrease.</w:t>
      </w:r>
    </w:p>
    <w:p>
      <w:pPr>
        <w:rPr>
          <w:rFonts w:hint="default"/>
          <w:b w:val="0"/>
          <w:bCs w:val="0"/>
          <w:lang w:val="en-US" w:eastAsia="zh-CN"/>
        </w:rPr>
      </w:pPr>
      <w:r>
        <w:rPr>
          <w:rFonts w:hint="eastAsia" w:ascii="宋体" w:hAnsi="宋体" w:eastAsia="宋体" w:cs="宋体"/>
          <w:b/>
          <w:bCs/>
          <w:color w:val="000000"/>
          <w:kern w:val="0"/>
          <w:sz w:val="24"/>
          <w:szCs w:val="24"/>
          <w:lang w:val="en-US" w:eastAsia="zh-CN" w:bidi="ar"/>
        </w:rPr>
        <w:t xml:space="preserve">Usage: </w:t>
      </w:r>
      <w:r>
        <w:rPr>
          <w:rFonts w:hint="eastAsia" w:ascii="宋体" w:hAnsi="宋体" w:eastAsia="宋体" w:cs="宋体"/>
          <w:b w:val="0"/>
          <w:bCs w:val="0"/>
          <w:color w:val="000000"/>
          <w:kern w:val="0"/>
          <w:sz w:val="24"/>
          <w:szCs w:val="24"/>
          <w:lang w:val="en-US" w:eastAsia="zh-CN" w:bidi="ar"/>
        </w:rPr>
        <w:t>In order to obtain the best performance, first pre-mix the resin and solvent components, slowly add additives, mix evenly, and then add pigments.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3E84332"/>
    <w:rsid w:val="04150D41"/>
    <w:rsid w:val="07724E37"/>
    <w:rsid w:val="07E602C6"/>
    <w:rsid w:val="083E2F6B"/>
    <w:rsid w:val="08EE3DAA"/>
    <w:rsid w:val="096E56D1"/>
    <w:rsid w:val="09C57C79"/>
    <w:rsid w:val="0A2C6F41"/>
    <w:rsid w:val="0A962CFF"/>
    <w:rsid w:val="0B9F7D16"/>
    <w:rsid w:val="0BC63572"/>
    <w:rsid w:val="0EA37FCC"/>
    <w:rsid w:val="0FAE7D89"/>
    <w:rsid w:val="0FF22FB9"/>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5DE30BD"/>
    <w:rsid w:val="476E538C"/>
    <w:rsid w:val="49520049"/>
    <w:rsid w:val="4EDB288F"/>
    <w:rsid w:val="517B5C63"/>
    <w:rsid w:val="52147BE3"/>
    <w:rsid w:val="534722A1"/>
    <w:rsid w:val="53837051"/>
    <w:rsid w:val="53953009"/>
    <w:rsid w:val="548C2305"/>
    <w:rsid w:val="54CA318A"/>
    <w:rsid w:val="54E840FB"/>
    <w:rsid w:val="55021DCC"/>
    <w:rsid w:val="551C775D"/>
    <w:rsid w:val="56104639"/>
    <w:rsid w:val="56BC4D54"/>
    <w:rsid w:val="577D0987"/>
    <w:rsid w:val="59DB3743"/>
    <w:rsid w:val="5BB9507C"/>
    <w:rsid w:val="5CB55876"/>
    <w:rsid w:val="5E0F4BB3"/>
    <w:rsid w:val="5E310F5A"/>
    <w:rsid w:val="5E9142B4"/>
    <w:rsid w:val="5F7A39FE"/>
    <w:rsid w:val="5FBE2597"/>
    <w:rsid w:val="61296EC8"/>
    <w:rsid w:val="637013A0"/>
    <w:rsid w:val="64596B4E"/>
    <w:rsid w:val="653B19A6"/>
    <w:rsid w:val="66CD1E9D"/>
    <w:rsid w:val="68250B9A"/>
    <w:rsid w:val="68686703"/>
    <w:rsid w:val="687F7FA5"/>
    <w:rsid w:val="69852996"/>
    <w:rsid w:val="6A0D6276"/>
    <w:rsid w:val="6BD447DE"/>
    <w:rsid w:val="6F0D3F47"/>
    <w:rsid w:val="706D1B4A"/>
    <w:rsid w:val="73555EB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autoRedefine/>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autoRedefine/>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2)_"/>
    <w:basedOn w:val="8"/>
    <w:link w:val="14"/>
    <w:qFormat/>
    <w:uiPriority w:val="0"/>
    <w:rPr>
      <w:rFonts w:ascii="宋体" w:hAnsi="宋体" w:eastAsia="宋体" w:cs="宋体"/>
      <w:b/>
      <w:bCs/>
      <w:sz w:val="36"/>
      <w:szCs w:val="36"/>
      <w:shd w:val="clear" w:color="auto" w:fill="FFFFFF"/>
    </w:rPr>
  </w:style>
  <w:style w:type="paragraph" w:customStyle="1" w:styleId="14">
    <w:name w:val="正文文本 (2)"/>
    <w:basedOn w:val="1"/>
    <w:link w:val="13"/>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qFormat/>
    <w:uiPriority w:val="0"/>
    <w:rPr>
      <w:rFonts w:ascii="宋体" w:hAnsi="宋体" w:eastAsia="宋体" w:cs="宋体"/>
      <w:shd w:val="clear" w:color="auto" w:fill="FFFFFF"/>
      <w:lang w:val="zh-CN" w:bidi="zh-CN"/>
    </w:rPr>
  </w:style>
  <w:style w:type="paragraph" w:customStyle="1" w:styleId="16">
    <w:name w:val="正文文本1"/>
    <w:basedOn w:val="1"/>
    <w:link w:val="15"/>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qFormat/>
    <w:uiPriority w:val="0"/>
    <w:rPr>
      <w:rFonts w:ascii="宋体" w:hAnsi="宋体" w:eastAsia="宋体" w:cs="宋体"/>
      <w:shd w:val="clear" w:color="auto" w:fill="FFFFFF"/>
    </w:rPr>
  </w:style>
  <w:style w:type="paragraph" w:customStyle="1" w:styleId="18">
    <w:name w:val="其他"/>
    <w:basedOn w:val="1"/>
    <w:link w:val="17"/>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autoRedefine/>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autoRedefine/>
    <w:qFormat/>
    <w:uiPriority w:val="0"/>
    <w:rPr>
      <w:rFonts w:ascii="Arial" w:hAnsi="Arial" w:eastAsia="Arial" w:cs="Arial"/>
      <w:b/>
      <w:bCs/>
      <w:sz w:val="34"/>
      <w:szCs w:val="34"/>
      <w:shd w:val="clear" w:color="auto" w:fill="FFFFFF"/>
    </w:rPr>
  </w:style>
  <w:style w:type="paragraph" w:customStyle="1" w:styleId="22">
    <w:name w:val="正文文本 (3)"/>
    <w:basedOn w:val="1"/>
    <w:link w:val="21"/>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qFormat/>
    <w:uiPriority w:val="0"/>
    <w:rPr>
      <w:rFonts w:ascii="Calibri" w:hAnsi="Calibri" w:eastAsia="Calibri" w:cs="Calibri"/>
      <w:sz w:val="16"/>
      <w:szCs w:val="16"/>
      <w:shd w:val="clear" w:color="auto" w:fill="FFFFFF"/>
    </w:rPr>
  </w:style>
  <w:style w:type="paragraph" w:customStyle="1" w:styleId="24">
    <w:name w:val="表格标题"/>
    <w:basedOn w:val="1"/>
    <w:link w:val="23"/>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qFormat/>
    <w:uiPriority w:val="0"/>
    <w:rPr>
      <w:rFonts w:ascii="Arial" w:hAnsi="Arial" w:eastAsia="Arial" w:cs="Arial"/>
      <w:b/>
      <w:bCs/>
      <w:sz w:val="36"/>
      <w:szCs w:val="36"/>
      <w:shd w:val="clear" w:color="auto" w:fill="FFFFFF"/>
    </w:rPr>
  </w:style>
  <w:style w:type="paragraph" w:customStyle="1" w:styleId="26">
    <w:name w:val="标题 #1"/>
    <w:basedOn w:val="1"/>
    <w:link w:val="25"/>
    <w:autoRedefine/>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autoRedefine/>
    <w:qFormat/>
    <w:uiPriority w:val="0"/>
    <w:rPr>
      <w:rFonts w:ascii="黑体" w:hAnsi="黑体" w:eastAsia="黑体" w:cs="黑体"/>
      <w:b/>
      <w:bCs/>
      <w:i/>
      <w:iCs/>
      <w:shd w:val="clear" w:color="auto" w:fill="FFFFFF"/>
      <w:lang w:val="zh-CN" w:bidi="zh-CN"/>
    </w:rPr>
  </w:style>
  <w:style w:type="paragraph" w:customStyle="1" w:styleId="28">
    <w:name w:val="标题 #2"/>
    <w:basedOn w:val="1"/>
    <w:link w:val="27"/>
    <w:autoRedefine/>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qFormat/>
    <w:uiPriority w:val="0"/>
    <w:rPr>
      <w:rFonts w:ascii="黑体" w:hAnsi="黑体" w:eastAsia="黑体" w:cs="黑体"/>
      <w:sz w:val="22"/>
      <w:shd w:val="clear" w:color="auto" w:fill="FFFFFF"/>
      <w:lang w:val="zh-CN" w:bidi="zh-CN"/>
    </w:rPr>
  </w:style>
  <w:style w:type="paragraph" w:customStyle="1" w:styleId="30">
    <w:name w:val="图片标题"/>
    <w:basedOn w:val="1"/>
    <w:link w:val="29"/>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autoRedefine/>
    <w:qFormat/>
    <w:uiPriority w:val="0"/>
    <w:pPr>
      <w:spacing w:before="0" w:after="0"/>
    </w:pPr>
    <w:rPr>
      <w:rFonts w:ascii="Times New Roman" w:eastAsia="PMingLiU"/>
    </w:rPr>
  </w:style>
  <w:style w:type="paragraph" w:customStyle="1" w:styleId="33">
    <w:name w:val="Definition List"/>
    <w:basedOn w:val="1"/>
    <w:next w:val="32"/>
    <w:qFormat/>
    <w:uiPriority w:val="0"/>
    <w:pPr>
      <w:spacing w:before="0" w:after="0"/>
      <w:ind w:left="360"/>
    </w:pPr>
    <w:rPr>
      <w:rFonts w:ascii="Times New Roman" w:eastAsia="PMingLiU"/>
    </w:rPr>
  </w:style>
  <w:style w:type="paragraph" w:customStyle="1" w:styleId="34">
    <w:name w:val="Default Text"/>
    <w:basedOn w:val="1"/>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Lines>
  <Paragraphs>1</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2024-02-17T06:47:26Z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C4D2FAC38C5743FC904FFBE32DEADCAC_13</vt:lpwstr>
  </property>
</Properties>
</file>