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 xml:space="preserve">Water-based </w:t>
      </w:r>
      <w:bookmarkStart w:id="0" w:name="_GoBack"/>
      <w:r>
        <w:rPr>
          <w:rFonts w:hint="eastAsia" w:ascii="宋体" w:hAnsi="宋体" w:eastAsia="宋体" w:cs="宋体"/>
          <w:b/>
          <w:bCs/>
          <w:color w:val="000000"/>
          <w:kern w:val="0"/>
          <w:sz w:val="36"/>
          <w:szCs w:val="36"/>
          <w:lang w:val="en-US" w:eastAsia="zh-CN" w:bidi="ar"/>
        </w:rPr>
        <w:t>dispersant</w:t>
      </w:r>
    </w:p>
    <w:bookmarkEnd w:id="0"/>
    <w:p>
      <w:pPr>
        <w:keepNext w:val="0"/>
        <w:keepLines w:val="0"/>
        <w:widowControl/>
        <w:suppressLineNumbers w:val="0"/>
        <w:spacing w:line="360" w:lineRule="auto"/>
        <w:jc w:val="center"/>
        <w:rPr>
          <w:rFonts w:hint="default"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RD-9910</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Split time:</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The stabilizing effect of the wetting dispersion agent can shorten the dispersion process of carbon black and other conductive materials. The appropriate dispersion time can be determined by measuring changes in particle size, electrode resistivity and dispersion time.</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Solid content:</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Compared with conventionally used polymer binders, polymer wetting dispersion agents can be used to prepare electrode pastes with high solid content. High solid content speeds up the drying process and increases productivity.</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appearance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Transparent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solvent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water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density</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1.16 g/cm3（20°C）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Do not wave a copy</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42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Polymeric block copolymers containing pigment affinity groups</w:t>
            </w:r>
          </w:p>
        </w:tc>
      </w:tr>
    </w:tbl>
    <w:p>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Field to use:</w:t>
      </w:r>
    </w:p>
    <w:p>
      <w:pP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Used for dispersing ceramic or electrically conductive carbon materials (e.g., carbon black) in water-based systems, electrode coatings, and also for preparing high-fill electrode pastes for lithium-ion batteries.</w:t>
      </w:r>
    </w:p>
    <w:p>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Recommended dosage:</w:t>
      </w:r>
    </w:p>
    <w:p>
      <w:pP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 Additive dosage (purchased form) based on: ceramic particles: 1-2.5%; Electrode coating carbon black: 20-50%, active substance: 0.4-2%</w:t>
      </w:r>
    </w:p>
    <w:p>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How to use:</w:t>
      </w:r>
    </w:p>
    <w:p>
      <w:pPr>
        <w:numPr>
          <w:ilvl w:val="0"/>
          <w:numId w:val="1"/>
        </w:numPr>
        <w:ind w:left="420" w:leftChars="0" w:hanging="420" w:firstLineChars="0"/>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The wetting dispersion agent should be added with the solvent/binder and mixed well. The suitability of the dispersant for the system can be determined by measuring the particle size and viscosity.</w:t>
      </w:r>
    </w:p>
    <w:p>
      <w:pPr>
        <w:numPr>
          <w:ilvl w:val="0"/>
          <w:numId w:val="1"/>
        </w:numPr>
        <w:ind w:left="420" w:leftChars="0" w:hanging="420" w:firstLineChars="0"/>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Better particle stability generally results in a lower slurry viscosity than systems without dispersants. Disperse and grind together with other ingredients of the formula.</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43446"/>
    <w:multiLevelType w:val="singleLevel"/>
    <w:tmpl w:val="9274344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C114EDA"/>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9520049"/>
    <w:rsid w:val="4EDB288F"/>
    <w:rsid w:val="517B5C63"/>
    <w:rsid w:val="52147BE3"/>
    <w:rsid w:val="534722A1"/>
    <w:rsid w:val="53837051"/>
    <w:rsid w:val="53953009"/>
    <w:rsid w:val="548C2305"/>
    <w:rsid w:val="54CA318A"/>
    <w:rsid w:val="54E840FB"/>
    <w:rsid w:val="55021DCC"/>
    <w:rsid w:val="551C775D"/>
    <w:rsid w:val="56BC4D54"/>
    <w:rsid w:val="577D0987"/>
    <w:rsid w:val="59DB3743"/>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2)_"/>
    <w:basedOn w:val="8"/>
    <w:link w:val="14"/>
    <w:qFormat/>
    <w:uiPriority w:val="0"/>
    <w:rPr>
      <w:rFonts w:ascii="宋体" w:hAnsi="宋体" w:eastAsia="宋体" w:cs="宋体"/>
      <w:b/>
      <w:bCs/>
      <w:sz w:val="36"/>
      <w:szCs w:val="36"/>
      <w:shd w:val="clear" w:color="auto" w:fill="FFFFFF"/>
    </w:rPr>
  </w:style>
  <w:style w:type="paragraph" w:customStyle="1" w:styleId="14">
    <w:name w:val="正文文本 (2)"/>
    <w:basedOn w:val="1"/>
    <w:link w:val="13"/>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qFormat/>
    <w:uiPriority w:val="0"/>
    <w:rPr>
      <w:rFonts w:ascii="宋体" w:hAnsi="宋体" w:eastAsia="宋体" w:cs="宋体"/>
      <w:shd w:val="clear" w:color="auto" w:fill="FFFFFF"/>
      <w:lang w:val="zh-CN" w:bidi="zh-CN"/>
    </w:rPr>
  </w:style>
  <w:style w:type="paragraph" w:customStyle="1" w:styleId="16">
    <w:name w:val="正文文本1"/>
    <w:basedOn w:val="1"/>
    <w:link w:val="15"/>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qFormat/>
    <w:uiPriority w:val="0"/>
    <w:rPr>
      <w:rFonts w:ascii="宋体" w:hAnsi="宋体" w:eastAsia="宋体" w:cs="宋体"/>
      <w:shd w:val="clear" w:color="auto" w:fill="FFFFFF"/>
    </w:rPr>
  </w:style>
  <w:style w:type="paragraph" w:customStyle="1" w:styleId="18">
    <w:name w:val="其他"/>
    <w:basedOn w:val="1"/>
    <w:link w:val="17"/>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autoRedefine/>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qFormat/>
    <w:uiPriority w:val="0"/>
    <w:rPr>
      <w:rFonts w:ascii="Arial" w:hAnsi="Arial" w:eastAsia="Arial" w:cs="Arial"/>
      <w:b/>
      <w:bCs/>
      <w:sz w:val="34"/>
      <w:szCs w:val="34"/>
      <w:shd w:val="clear" w:color="auto" w:fill="FFFFFF"/>
    </w:rPr>
  </w:style>
  <w:style w:type="paragraph" w:customStyle="1" w:styleId="22">
    <w:name w:val="正文文本 (3)"/>
    <w:basedOn w:val="1"/>
    <w:link w:val="21"/>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qFormat/>
    <w:uiPriority w:val="0"/>
    <w:rPr>
      <w:rFonts w:ascii="Calibri" w:hAnsi="Calibri" w:eastAsia="Calibri" w:cs="Calibri"/>
      <w:sz w:val="16"/>
      <w:szCs w:val="16"/>
      <w:shd w:val="clear" w:color="auto" w:fill="FFFFFF"/>
    </w:rPr>
  </w:style>
  <w:style w:type="paragraph" w:customStyle="1" w:styleId="24">
    <w:name w:val="表格标题"/>
    <w:basedOn w:val="1"/>
    <w:link w:val="23"/>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qFormat/>
    <w:uiPriority w:val="0"/>
    <w:rPr>
      <w:rFonts w:ascii="Arial" w:hAnsi="Arial" w:eastAsia="Arial" w:cs="Arial"/>
      <w:b/>
      <w:bCs/>
      <w:sz w:val="36"/>
      <w:szCs w:val="36"/>
      <w:shd w:val="clear" w:color="auto" w:fill="FFFFFF"/>
    </w:rPr>
  </w:style>
  <w:style w:type="paragraph" w:customStyle="1" w:styleId="26">
    <w:name w:val="标题 #1"/>
    <w:basedOn w:val="1"/>
    <w:link w:val="25"/>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qFormat/>
    <w:uiPriority w:val="0"/>
    <w:rPr>
      <w:rFonts w:ascii="黑体" w:hAnsi="黑体" w:eastAsia="黑体" w:cs="黑体"/>
      <w:b/>
      <w:bCs/>
      <w:i/>
      <w:iCs/>
      <w:shd w:val="clear" w:color="auto" w:fill="FFFFFF"/>
      <w:lang w:val="zh-CN" w:bidi="zh-CN"/>
    </w:rPr>
  </w:style>
  <w:style w:type="paragraph" w:customStyle="1" w:styleId="28">
    <w:name w:val="标题 #2"/>
    <w:basedOn w:val="1"/>
    <w:link w:val="27"/>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qFormat/>
    <w:uiPriority w:val="0"/>
    <w:rPr>
      <w:rFonts w:ascii="黑体" w:hAnsi="黑体" w:eastAsia="黑体" w:cs="黑体"/>
      <w:sz w:val="22"/>
      <w:shd w:val="clear" w:color="auto" w:fill="FFFFFF"/>
      <w:lang w:val="zh-CN" w:bidi="zh-CN"/>
    </w:rPr>
  </w:style>
  <w:style w:type="paragraph" w:customStyle="1" w:styleId="30">
    <w:name w:val="图片标题"/>
    <w:basedOn w:val="1"/>
    <w:link w:val="29"/>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qFormat/>
    <w:uiPriority w:val="0"/>
    <w:pPr>
      <w:spacing w:before="0" w:after="0"/>
    </w:pPr>
    <w:rPr>
      <w:rFonts w:ascii="Times New Roman" w:eastAsia="PMingLiU"/>
    </w:rPr>
  </w:style>
  <w:style w:type="paragraph" w:customStyle="1" w:styleId="33">
    <w:name w:val="Definition List"/>
    <w:basedOn w:val="1"/>
    <w:next w:val="32"/>
    <w:qFormat/>
    <w:uiPriority w:val="0"/>
    <w:pPr>
      <w:spacing w:before="0" w:after="0"/>
      <w:ind w:left="360"/>
    </w:pPr>
    <w:rPr>
      <w:rFonts w:ascii="Times New Roman" w:eastAsia="PMingLiU"/>
    </w:rPr>
  </w:style>
  <w:style w:type="paragraph" w:customStyle="1" w:styleId="34">
    <w:name w:val="Default Text"/>
    <w:basedOn w:val="1"/>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2024-02-17T06:44:47Z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0408C64CB01842389DD19932CBCD33F6_13</vt:lpwstr>
  </property>
</Properties>
</file>